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Define “interview”.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What distinguishes an interview from conversation?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What does “interactional” mean?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How is an interview a collaborative process?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Explain why, once an interview begins, the parties involved “cannot   </w:t>
      </w:r>
      <w:r>
        <w:rPr>
          <w:rFonts w:ascii="Times New Roman"/>
          <w:b w:val="false"/>
          <w:i/>
          <w:color w:val="000000"/>
          <w:sz w:val="24"/>
        </w:rPr>
        <w:t xml:space="preserve">not </w:t>
      </w:r>
      <w:r>
        <w:rPr>
          <w:rFonts w:ascii="Times New Roman"/>
          <w:b w:val="false"/>
          <w:i w:val="false"/>
          <w:color w:val="000000"/>
          <w:sz w:val="24"/>
        </w:rPr>
        <w:t>communicate.”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Under what circumstances would you become involved in information-giving interviews?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Discuss the role of asking and answering questions in an interview.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Describe a focus group interview, and explain why it might be used over a single-person interview.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Why would an organization choose to conduct virtual interviews over other traditional and nontraditional forms of interviewing?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Which of the following types of interviews is critical and common in health care interviews?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information-giving interviews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appraisal interviews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promotion and placement interviews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focus group interviews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of the following statements is true about conversations and momentary meetings?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are primarily well structured.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are rarely conducted with a predetermined and serious purpose.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are rarely informal and spontaneous.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are primarily well planned.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Interviewing typically involves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persuading.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information giving.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counseling.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word “interactional” signifies an exchanging of all of the following   </w:t>
      </w:r>
      <w:r>
        <w:rPr>
          <w:rFonts w:ascii="Times New Roman"/>
          <w:b w:val="false"/>
          <w:i/>
          <w:color w:val="000000"/>
          <w:sz w:val="24"/>
        </w:rPr>
        <w:t>except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roles.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expectations.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responsibilities.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beliefs.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What distinguishes interviews from social conversations?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interactions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asking and answering questions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exchanging information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predetermined and serious purpose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Interviews share characteristics with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brief interactions.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social conversations.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small groups.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In interviews, the parties share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feelings.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beliefs.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motives.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“Collaborative” means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mutual creation and sharing of meanings.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interactional communication process.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working independently.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An interview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collaborative process.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interactional communication process.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process with a predetermined and serious purpose.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Questions are tools interviewers and interviewees employ for all of the following   </w:t>
      </w:r>
      <w:r>
        <w:rPr>
          <w:rFonts w:ascii="Times New Roman"/>
          <w:b w:val="false"/>
          <w:i/>
          <w:color w:val="000000"/>
          <w:sz w:val="24"/>
        </w:rPr>
        <w:t>except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 obtain information.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 verify impressions and assumptions.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 disclose their own motives.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 check the accuracy of messages sent and received.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traditional form of interviewing?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selection interviews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virtual interviews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information-giving interviews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information-gathering interviews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type of interview consists of two parties taking part in orienting, coaching, instructing, and briefing sessions?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selection interviews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telephone interviews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information-giving interviews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information-gathering interviews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If an interviewee has a personal or professional problem, which of the following types of interviews is most appropriate to address the situation?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selection interview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persuasion interview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counseling interview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telephone interview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Identify an accurate statement about focus group interviews.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usually require similar but unrelated interviewees.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are the most common form of placement interviews.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involve eight interviewers and one interviewee.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discourage interactions among interviewees.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An interviewer structures the interview with a carefully crafted set of questions designed to generate interactions among the interviewees in a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selection interview.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persuasion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counseling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focus group interview.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Identify the disadvantage(s) of telephone interviews.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the lack of “presence” of parties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inability to give subtle cues to interviewees about role changes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the inability to observe an interviewee’s appearance and gestures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Which of the following interviews occurs when one party attempts to alter or reinforce the thinking, feeling, or acting of another party?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selection interview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persuasion interview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counseling interview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telephone interview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The sales interview is typically an example of a(n)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focus group interview.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persuasion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counseling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appraisal interview.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Which of the following statements is true about an e-mail interview?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It makes it difficult to establish rapport with an interviewee.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It requires more bandwidth than other forms of multimedia interviews.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It is the most interactive form of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It provides an interviewer a significant advantage in opening interviews.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It is best to use a webinar to conduct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surveys.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interviews.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assessments.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workshops.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Identify an accurate statement about performance review.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It is the most common form of focus group interviews.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It requires a minimum of six to eight interviewees and one interviewer.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It was once commonly referred to as an exit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It is used primarily to analyze the skills and abilities of an interviewee.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Identify an accurate statement about e-mail interview fairness.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 e-mail interview may be less fair to a verbally challenged person than to an orally challenged person.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e-mail interview may be less fair to an orally challenged person than to a verbally challenged person.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E-mail interviews are equally unfair for both orally challenged and verbally challenged people.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An e-mail interview provides an advantage to the interviewer over the interviewee.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A “placement interview” is a type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counseling interview.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persuasion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selection interview.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information-gathering interview.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In a typical interview, there are two distinct parties: an interviewer party and an interviewee party.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A wink is a nonverbal sign in an interaction.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An interview requires a degree of planning and structure.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“Dyadic” means three parties.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 communicative exchange involving three people   </w:t>
      </w:r>
      <w:r>
        <w:rPr>
          <w:rFonts w:ascii="Times New Roman"/>
          <w:b w:val="false"/>
          <w:i/>
          <w:color w:val="000000"/>
          <w:sz w:val="24"/>
        </w:rPr>
        <w:t>cannot</w:t>
      </w:r>
      <w:r>
        <w:rPr>
          <w:rFonts w:ascii="Times New Roman"/>
          <w:b w:val="false"/>
          <w:i w:val="false"/>
          <w:color w:val="000000"/>
          <w:sz w:val="24"/>
        </w:rPr>
        <w:t xml:space="preserve"> be an interview because an interview involves two people.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An interview is interactive in real time.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Asking questions is an important aspect of an interview.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A persuasive interview is always formal.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Roles of the interviewer and interviewee may switch from moment to moment.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An Army recruiter meeting with two parents is an interview.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 student meeting with her doctor and nurse practitioner to determine when she could resume practice with the gymnastics team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an interview.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Three supervisors discussing the ways in which they might alter performance reviews in the second quarter of the year is an interview.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 professor asking questions about an assigned case study and its practical applications in computer software design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an interview.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One of the primary purposes of information-gathering interviews is to transfer facts, data, reports, and opinions from one party to another.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An advantage of an e-mail interview is that it is easy to determine the emotional reactions of an interviewee.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FALSE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